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B9D6E" w14:textId="1A6F677B" w:rsidR="00863129" w:rsidRPr="00863129" w:rsidRDefault="00197297" w:rsidP="00863129">
      <w:pPr>
        <w:widowControl w:val="0"/>
        <w:pBdr>
          <w:top w:val="nil"/>
          <w:left w:val="nil"/>
          <w:bottom w:val="nil"/>
          <w:right w:val="nil"/>
          <w:between w:val="nil"/>
        </w:pBdr>
        <w:spacing w:before="240" w:after="0"/>
        <w:jc w:val="left"/>
        <w:rPr>
          <w:rFonts w:ascii="Arial" w:eastAsia="Arial" w:hAnsi="Arial" w:cs="Arial"/>
          <w:b/>
          <w:color w:val="000000"/>
          <w:sz w:val="24"/>
          <w:szCs w:val="24"/>
        </w:rPr>
      </w:pPr>
      <w:r>
        <w:rPr>
          <w:rFonts w:ascii="Arial" w:eastAsia="Arial" w:hAnsi="Arial" w:cs="Arial"/>
          <w:b/>
          <w:color w:val="000000"/>
          <w:sz w:val="24"/>
          <w:szCs w:val="24"/>
        </w:rPr>
        <w:t>Future Sustainable Mobilit</w:t>
      </w:r>
      <w:r>
        <w:rPr>
          <w:rFonts w:ascii="Arial" w:eastAsia="Arial" w:hAnsi="Arial" w:cs="Arial"/>
          <w:b/>
          <w:sz w:val="24"/>
          <w:szCs w:val="24"/>
        </w:rPr>
        <w:t>ies</w:t>
      </w:r>
      <w:r>
        <w:rPr>
          <w:rFonts w:ascii="Arial" w:eastAsia="Arial" w:hAnsi="Arial" w:cs="Arial"/>
          <w:b/>
          <w:color w:val="000000"/>
          <w:sz w:val="24"/>
          <w:szCs w:val="24"/>
        </w:rPr>
        <w:t>: Theory, Research and Policies</w:t>
      </w:r>
    </w:p>
    <w:p w14:paraId="778D66BD" w14:textId="23BE958A" w:rsidR="00FF7C4F" w:rsidRDefault="00197297" w:rsidP="00863129">
      <w:pPr>
        <w:widowControl w:val="0"/>
        <w:pBdr>
          <w:top w:val="nil"/>
          <w:left w:val="nil"/>
          <w:bottom w:val="nil"/>
          <w:right w:val="nil"/>
          <w:between w:val="nil"/>
        </w:pBdr>
        <w:spacing w:before="240" w:line="360" w:lineRule="auto"/>
        <w:jc w:val="left"/>
        <w:rPr>
          <w:rFonts w:ascii="Arial" w:eastAsia="Arial" w:hAnsi="Arial" w:cs="Arial"/>
          <w:color w:val="000000"/>
          <w:sz w:val="20"/>
          <w:szCs w:val="20"/>
        </w:rPr>
      </w:pPr>
      <w:r>
        <w:rPr>
          <w:rFonts w:ascii="Arial" w:eastAsia="Arial" w:hAnsi="Arial" w:cs="Arial"/>
          <w:color w:val="000000"/>
          <w:sz w:val="20"/>
          <w:szCs w:val="20"/>
        </w:rPr>
        <w:t xml:space="preserve">Simone </w:t>
      </w:r>
      <w:proofErr w:type="spellStart"/>
      <w:r>
        <w:rPr>
          <w:rFonts w:ascii="Arial" w:eastAsia="Arial" w:hAnsi="Arial" w:cs="Arial"/>
          <w:color w:val="000000"/>
          <w:sz w:val="20"/>
          <w:szCs w:val="20"/>
        </w:rPr>
        <w:t>Caiello</w:t>
      </w:r>
      <w:proofErr w:type="spellEnd"/>
      <w:r>
        <w:rPr>
          <w:rFonts w:ascii="Arial" w:eastAsia="Arial" w:hAnsi="Arial" w:cs="Arial"/>
          <w:color w:val="000000"/>
          <w:sz w:val="20"/>
          <w:szCs w:val="20"/>
          <w:vertAlign w:val="superscript"/>
        </w:rPr>
        <w:footnoteReference w:id="1"/>
      </w:r>
      <w:r>
        <w:rPr>
          <w:rFonts w:ascii="Arial" w:eastAsia="Arial" w:hAnsi="Arial" w:cs="Arial"/>
          <w:color w:val="000000"/>
          <w:sz w:val="20"/>
          <w:szCs w:val="20"/>
        </w:rPr>
        <w:t xml:space="preserve">, Luca </w:t>
      </w:r>
      <w:proofErr w:type="spellStart"/>
      <w:r>
        <w:rPr>
          <w:rFonts w:ascii="Arial" w:eastAsia="Arial" w:hAnsi="Arial" w:cs="Arial"/>
          <w:color w:val="000000"/>
          <w:sz w:val="20"/>
          <w:szCs w:val="20"/>
        </w:rPr>
        <w:t>Daconto</w:t>
      </w:r>
      <w:proofErr w:type="spellEnd"/>
      <w:r>
        <w:rPr>
          <w:rFonts w:ascii="Arial" w:eastAsia="Arial" w:hAnsi="Arial" w:cs="Arial"/>
          <w:color w:val="000000"/>
          <w:sz w:val="20"/>
          <w:szCs w:val="20"/>
          <w:vertAlign w:val="superscript"/>
        </w:rPr>
        <w:footnoteReference w:id="2"/>
      </w:r>
    </w:p>
    <w:p w14:paraId="06AB56FA" w14:textId="77777777" w:rsidR="00FF7C4F" w:rsidRDefault="00197297">
      <w:pPr>
        <w:widowControl w:val="0"/>
        <w:pBdr>
          <w:top w:val="nil"/>
          <w:left w:val="nil"/>
          <w:bottom w:val="nil"/>
          <w:right w:val="nil"/>
          <w:between w:val="nil"/>
        </w:pBdr>
        <w:spacing w:after="360"/>
        <w:rPr>
          <w:rFonts w:ascii="Arial" w:eastAsia="Arial" w:hAnsi="Arial" w:cs="Arial"/>
          <w:b/>
          <w:color w:val="000000"/>
          <w:sz w:val="18"/>
          <w:szCs w:val="18"/>
        </w:rPr>
      </w:pPr>
      <w:r>
        <w:rPr>
          <w:rFonts w:ascii="Arial" w:eastAsia="Arial" w:hAnsi="Arial" w:cs="Arial"/>
          <w:b/>
          <w:color w:val="000000"/>
          <w:sz w:val="18"/>
          <w:szCs w:val="18"/>
        </w:rPr>
        <w:t>Keywords: sustainable mobility; active mobility; accessibility; policies</w:t>
      </w:r>
    </w:p>
    <w:p w14:paraId="7634611A" w14:textId="77777777" w:rsidR="00FF7C4F" w:rsidRDefault="00197297" w:rsidP="00901979">
      <w:pPr>
        <w:widowControl w:val="0"/>
        <w:pBdr>
          <w:top w:val="nil"/>
          <w:left w:val="nil"/>
          <w:bottom w:val="nil"/>
          <w:right w:val="nil"/>
          <w:between w:val="nil"/>
        </w:pBdr>
        <w:spacing w:after="0"/>
        <w:rPr>
          <w:rFonts w:ascii="Arial" w:eastAsia="Arial" w:hAnsi="Arial" w:cs="Arial"/>
          <w:color w:val="000000"/>
          <w:sz w:val="20"/>
          <w:szCs w:val="20"/>
        </w:rPr>
      </w:pPr>
      <w:r>
        <w:rPr>
          <w:rFonts w:ascii="Arial" w:eastAsia="Arial" w:hAnsi="Arial" w:cs="Arial"/>
          <w:color w:val="000000"/>
          <w:sz w:val="20"/>
          <w:szCs w:val="20"/>
        </w:rPr>
        <w:t xml:space="preserve">Cities face the great challenge posed by the Sustainable Development Goals. In the field of mobility, this means moving towards a post-car future (Dennis and Urry 2013). The strong car-dependency (Dupuy 1999), which characterizes urban and transport development, the daily </w:t>
      </w:r>
      <w:proofErr w:type="gramStart"/>
      <w:r>
        <w:rPr>
          <w:rFonts w:ascii="Arial" w:eastAsia="Arial" w:hAnsi="Arial" w:cs="Arial"/>
          <w:color w:val="000000"/>
          <w:sz w:val="20"/>
          <w:szCs w:val="20"/>
        </w:rPr>
        <w:t>practices</w:t>
      </w:r>
      <w:proofErr w:type="gramEnd"/>
      <w:r>
        <w:rPr>
          <w:rFonts w:ascii="Arial" w:eastAsia="Arial" w:hAnsi="Arial" w:cs="Arial"/>
          <w:color w:val="000000"/>
          <w:sz w:val="20"/>
          <w:szCs w:val="20"/>
        </w:rPr>
        <w:t xml:space="preserve"> and the culture of mobility (Urry 2004) of large sections of the population, has several negative externalities from an environmental (congestion, air-quality, land consumption) and social (forced car ownership, automobility-related social exclusion) point of view. To ensure their equity and sustainability, cities must transform their systems of mobility, acting both on the urban organization and on the supply and demand for mobility.</w:t>
      </w:r>
    </w:p>
    <w:p w14:paraId="527E09B2" w14:textId="0C16B467" w:rsidR="00FF7C4F" w:rsidRDefault="00197297" w:rsidP="00901979">
      <w:pPr>
        <w:widowControl w:val="0"/>
        <w:pBdr>
          <w:top w:val="nil"/>
          <w:left w:val="nil"/>
          <w:bottom w:val="nil"/>
          <w:right w:val="nil"/>
          <w:between w:val="nil"/>
        </w:pBdr>
        <w:spacing w:after="0"/>
        <w:rPr>
          <w:rFonts w:ascii="Arial" w:eastAsia="Arial" w:hAnsi="Arial" w:cs="Arial"/>
          <w:color w:val="000000"/>
          <w:sz w:val="20"/>
          <w:szCs w:val="20"/>
        </w:rPr>
      </w:pPr>
      <w:r>
        <w:rPr>
          <w:rFonts w:ascii="Arial" w:eastAsia="Arial" w:hAnsi="Arial" w:cs="Arial"/>
          <w:color w:val="000000"/>
          <w:sz w:val="20"/>
          <w:szCs w:val="20"/>
        </w:rPr>
        <w:t>In this context, the paper presents an analysis of the main policies for sustainable and smart mobility and mobility management that emerged at the European level. After having classified the interventions into 4 main areas (Improving modal alternatives; Built environment; Pricing; Changing individual attitudes and behavior), the focus will be on actions related to the 15-minute city. Indeed, given the relevance of the Sustaina</w:t>
      </w:r>
      <w:r w:rsidR="00901979">
        <w:rPr>
          <w:rFonts w:ascii="Arial" w:eastAsia="Arial" w:hAnsi="Arial" w:cs="Arial"/>
          <w:color w:val="000000"/>
          <w:sz w:val="20"/>
          <w:szCs w:val="20"/>
        </w:rPr>
        <w:t>bility</w:t>
      </w:r>
      <w:r>
        <w:rPr>
          <w:rFonts w:ascii="Arial" w:eastAsia="Arial" w:hAnsi="Arial" w:cs="Arial"/>
          <w:color w:val="000000"/>
          <w:sz w:val="20"/>
          <w:szCs w:val="20"/>
        </w:rPr>
        <w:t xml:space="preserve"> Goals in the political agendas and the impact of the COVID19 pandemic, the need of granting accessibility to opportunities at walking distance (or reachable </w:t>
      </w:r>
      <w:r>
        <w:rPr>
          <w:rFonts w:ascii="Arial" w:eastAsia="Arial" w:hAnsi="Arial" w:cs="Arial"/>
          <w:sz w:val="20"/>
          <w:szCs w:val="20"/>
        </w:rPr>
        <w:t>through</w:t>
      </w:r>
      <w:r>
        <w:rPr>
          <w:rFonts w:ascii="Arial" w:eastAsia="Arial" w:hAnsi="Arial" w:cs="Arial"/>
          <w:color w:val="000000"/>
          <w:sz w:val="20"/>
          <w:szCs w:val="20"/>
        </w:rPr>
        <w:t xml:space="preserve"> active or sustainable mobility) emerged with strength as a manner to respond to the current emergency but also to promote the sustainability and resilience of the city, capable of anticipating (Adey, 2016) any similar future emergency. After a brief review of the contributions on this topic, the paper presents the main results of a GIS-based analysis of pedestrian accessibility to several points of interest (POI) in the metropolitan area of Milan, that can help in supporting the design of differentiated strategies and policies for enhancing sustainability and equity at the local level.</w:t>
      </w:r>
    </w:p>
    <w:sectPr w:rsidR="00FF7C4F">
      <w:headerReference w:type="default" r:id="rId8"/>
      <w:footerReference w:type="default" r:id="rId9"/>
      <w:pgSz w:w="8400" w:h="11900"/>
      <w:pgMar w:top="1521" w:right="851" w:bottom="851" w:left="85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0117B" w14:textId="77777777" w:rsidR="00612B77" w:rsidRDefault="00612B77">
      <w:pPr>
        <w:spacing w:after="0"/>
      </w:pPr>
      <w:r>
        <w:separator/>
      </w:r>
    </w:p>
  </w:endnote>
  <w:endnote w:type="continuationSeparator" w:id="0">
    <w:p w14:paraId="14A09511" w14:textId="77777777" w:rsidR="00612B77" w:rsidRDefault="00612B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Cambria">
    <w:panose1 w:val="020405030504060302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AAAB" w14:textId="77777777" w:rsidR="00FF7C4F" w:rsidRDefault="00197297">
    <w:pPr>
      <w:pBdr>
        <w:top w:val="nil"/>
        <w:left w:val="nil"/>
        <w:bottom w:val="nil"/>
        <w:right w:val="nil"/>
        <w:between w:val="nil"/>
      </w:pBdr>
      <w:tabs>
        <w:tab w:val="center" w:pos="4680"/>
        <w:tab w:val="right" w:pos="9360"/>
      </w:tabs>
      <w:spacing w:before="120" w:after="0"/>
      <w:jc w:val="center"/>
      <w:rPr>
        <w:color w:val="000000"/>
        <w:szCs w:val="16"/>
      </w:rPr>
    </w:pPr>
    <w:r>
      <w:rPr>
        <w:b/>
        <w:color w:val="000000"/>
        <w:szCs w:val="16"/>
      </w:rPr>
      <w:t xml:space="preserve">SSPCR 2019 - </w:t>
    </w:r>
    <w:r>
      <w:rPr>
        <w:b/>
        <w:color w:val="7F7F7F"/>
        <w:szCs w:val="16"/>
      </w:rPr>
      <w:t>Page</w:t>
    </w:r>
    <w:r>
      <w:rPr>
        <w:b/>
        <w:color w:val="000000"/>
        <w:szCs w:val="16"/>
      </w:rPr>
      <w:t xml:space="preserve"> | </w:t>
    </w:r>
    <w:r>
      <w:rPr>
        <w:b/>
        <w:color w:val="000000"/>
        <w:szCs w:val="16"/>
      </w:rPr>
      <w:fldChar w:fldCharType="begin"/>
    </w:r>
    <w:r>
      <w:rPr>
        <w:b/>
        <w:color w:val="000000"/>
        <w:szCs w:val="16"/>
      </w:rPr>
      <w:instrText>PAGE</w:instrText>
    </w:r>
    <w:r>
      <w:rPr>
        <w:b/>
        <w:color w:val="000000"/>
        <w:szCs w:val="16"/>
      </w:rPr>
      <w:fldChar w:fldCharType="separate"/>
    </w:r>
    <w:r w:rsidR="00901979">
      <w:rPr>
        <w:b/>
        <w:noProof/>
        <w:color w:val="000000"/>
        <w:szCs w:val="16"/>
      </w:rPr>
      <w:t>1</w:t>
    </w:r>
    <w:r>
      <w:rPr>
        <w:b/>
        <w:color w:val="00000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F2EA3" w14:textId="77777777" w:rsidR="00612B77" w:rsidRDefault="00612B77">
      <w:pPr>
        <w:spacing w:after="0"/>
      </w:pPr>
      <w:r>
        <w:separator/>
      </w:r>
    </w:p>
  </w:footnote>
  <w:footnote w:type="continuationSeparator" w:id="0">
    <w:p w14:paraId="464DAF6F" w14:textId="77777777" w:rsidR="00612B77" w:rsidRDefault="00612B77">
      <w:pPr>
        <w:spacing w:after="0"/>
      </w:pPr>
      <w:r>
        <w:continuationSeparator/>
      </w:r>
    </w:p>
  </w:footnote>
  <w:footnote w:id="1">
    <w:p w14:paraId="523A2DCF" w14:textId="77777777" w:rsidR="00FF7C4F" w:rsidRDefault="00197297">
      <w:pPr>
        <w:pBdr>
          <w:top w:val="nil"/>
          <w:left w:val="nil"/>
          <w:bottom w:val="nil"/>
          <w:right w:val="nil"/>
          <w:between w:val="nil"/>
        </w:pBdr>
        <w:spacing w:before="120" w:after="0"/>
        <w:rPr>
          <w:rFonts w:ascii="Arial" w:eastAsia="Arial" w:hAnsi="Arial" w:cs="Arial"/>
          <w:color w:val="000000"/>
          <w:szCs w:val="16"/>
        </w:rPr>
      </w:pPr>
      <w:r>
        <w:rPr>
          <w:vertAlign w:val="superscript"/>
        </w:rPr>
        <w:footnoteRef/>
      </w:r>
      <w:r>
        <w:rPr>
          <w:rFonts w:ascii="Arial" w:eastAsia="Arial" w:hAnsi="Arial" w:cs="Arial"/>
          <w:color w:val="000000"/>
          <w:szCs w:val="16"/>
        </w:rPr>
        <w:t xml:space="preserve"> Department of Sociology and Social Research, University of Milan Bicocca, via Bicocca </w:t>
      </w:r>
      <w:proofErr w:type="spellStart"/>
      <w:r>
        <w:rPr>
          <w:rFonts w:ascii="Arial" w:eastAsia="Arial" w:hAnsi="Arial" w:cs="Arial"/>
          <w:color w:val="000000"/>
          <w:szCs w:val="16"/>
        </w:rPr>
        <w:t>degli</w:t>
      </w:r>
      <w:proofErr w:type="spellEnd"/>
      <w:r>
        <w:rPr>
          <w:rFonts w:ascii="Arial" w:eastAsia="Arial" w:hAnsi="Arial" w:cs="Arial"/>
          <w:color w:val="000000"/>
          <w:szCs w:val="16"/>
        </w:rPr>
        <w:t xml:space="preserve"> Arcimboldi 8, 20126 Milano, simone.caiello@unimib.it.</w:t>
      </w:r>
    </w:p>
  </w:footnote>
  <w:footnote w:id="2">
    <w:p w14:paraId="1CFC502B" w14:textId="77777777" w:rsidR="00FF7C4F" w:rsidRDefault="00197297">
      <w:pPr>
        <w:pBdr>
          <w:top w:val="nil"/>
          <w:left w:val="nil"/>
          <w:bottom w:val="nil"/>
          <w:right w:val="nil"/>
          <w:between w:val="nil"/>
        </w:pBdr>
        <w:spacing w:before="120" w:after="0"/>
        <w:rPr>
          <w:rFonts w:ascii="Arial" w:eastAsia="Arial" w:hAnsi="Arial" w:cs="Arial"/>
          <w:color w:val="000000"/>
          <w:szCs w:val="16"/>
        </w:rPr>
      </w:pPr>
      <w:r>
        <w:rPr>
          <w:vertAlign w:val="superscript"/>
        </w:rPr>
        <w:footnoteRef/>
      </w:r>
      <w:r>
        <w:rPr>
          <w:rFonts w:ascii="Arial" w:eastAsia="Arial" w:hAnsi="Arial" w:cs="Arial"/>
          <w:color w:val="000000"/>
          <w:szCs w:val="16"/>
        </w:rPr>
        <w:t xml:space="preserve"> Department of Sociology and Social Research, University of Milan Bicocca, via Bicocca </w:t>
      </w:r>
      <w:proofErr w:type="spellStart"/>
      <w:r>
        <w:rPr>
          <w:rFonts w:ascii="Arial" w:eastAsia="Arial" w:hAnsi="Arial" w:cs="Arial"/>
          <w:color w:val="000000"/>
          <w:szCs w:val="16"/>
        </w:rPr>
        <w:t>degli</w:t>
      </w:r>
      <w:proofErr w:type="spellEnd"/>
      <w:r>
        <w:rPr>
          <w:rFonts w:ascii="Arial" w:eastAsia="Arial" w:hAnsi="Arial" w:cs="Arial"/>
          <w:color w:val="000000"/>
          <w:szCs w:val="16"/>
        </w:rPr>
        <w:t xml:space="preserve"> Arcimboldi 8, 20126 Milano, luca.daconto@unimib.it.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54AB" w14:textId="77777777" w:rsidR="00FF7C4F" w:rsidRDefault="00197297">
    <w:pPr>
      <w:pBdr>
        <w:top w:val="nil"/>
        <w:left w:val="nil"/>
        <w:bottom w:val="nil"/>
        <w:right w:val="nil"/>
        <w:between w:val="nil"/>
      </w:pBdr>
      <w:tabs>
        <w:tab w:val="center" w:pos="4680"/>
        <w:tab w:val="right" w:pos="9360"/>
      </w:tabs>
      <w:spacing w:after="0" w:line="360" w:lineRule="auto"/>
      <w:rPr>
        <w:color w:val="000000"/>
        <w:szCs w:val="16"/>
      </w:rPr>
    </w:pPr>
    <w:r>
      <w:rPr>
        <w:b/>
        <w:color w:val="000000"/>
        <w:szCs w:val="16"/>
      </w:rPr>
      <w:t>4</w:t>
    </w:r>
    <w:r>
      <w:rPr>
        <w:b/>
        <w:color w:val="000000"/>
        <w:szCs w:val="16"/>
        <w:vertAlign w:val="superscript"/>
      </w:rPr>
      <w:t>th</w:t>
    </w:r>
    <w:r>
      <w:rPr>
        <w:b/>
        <w:color w:val="000000"/>
        <w:szCs w:val="16"/>
      </w:rPr>
      <w:t xml:space="preserve"> International Conference SSPCR</w:t>
    </w:r>
    <w:r>
      <w:rPr>
        <w:noProof/>
      </w:rPr>
      <w:drawing>
        <wp:anchor distT="0" distB="0" distL="0" distR="0" simplePos="0" relativeHeight="251658240" behindDoc="1" locked="0" layoutInCell="1" hidden="0" allowOverlap="1" wp14:anchorId="0F29FA46" wp14:editId="587316AF">
          <wp:simplePos x="0" y="0"/>
          <wp:positionH relativeFrom="column">
            <wp:posOffset>3338195</wp:posOffset>
          </wp:positionH>
          <wp:positionV relativeFrom="paragraph">
            <wp:posOffset>6985</wp:posOffset>
          </wp:positionV>
          <wp:extent cx="789751" cy="288000"/>
          <wp:effectExtent l="0" t="0" r="0" b="0"/>
          <wp:wrapNone/>
          <wp:docPr id="25" name="image1.jpg" descr="eurac_gray_55k_pos"/>
          <wp:cNvGraphicFramePr/>
          <a:graphic xmlns:a="http://schemas.openxmlformats.org/drawingml/2006/main">
            <a:graphicData uri="http://schemas.openxmlformats.org/drawingml/2006/picture">
              <pic:pic xmlns:pic="http://schemas.openxmlformats.org/drawingml/2006/picture">
                <pic:nvPicPr>
                  <pic:cNvPr id="0" name="image1.jpg" descr="eurac_gray_55k_pos"/>
                  <pic:cNvPicPr preferRelativeResize="0"/>
                </pic:nvPicPr>
                <pic:blipFill>
                  <a:blip r:embed="rId1"/>
                  <a:srcRect/>
                  <a:stretch>
                    <a:fillRect/>
                  </a:stretch>
                </pic:blipFill>
                <pic:spPr>
                  <a:xfrm>
                    <a:off x="0" y="0"/>
                    <a:ext cx="789751" cy="288000"/>
                  </a:xfrm>
                  <a:prstGeom prst="rect">
                    <a:avLst/>
                  </a:prstGeom>
                  <a:ln/>
                </pic:spPr>
              </pic:pic>
            </a:graphicData>
          </a:graphic>
        </wp:anchor>
      </w:drawing>
    </w:r>
  </w:p>
  <w:p w14:paraId="689EEF1F" w14:textId="77777777" w:rsidR="00FF7C4F" w:rsidRDefault="00197297">
    <w:pPr>
      <w:pBdr>
        <w:top w:val="nil"/>
        <w:left w:val="nil"/>
        <w:bottom w:val="nil"/>
        <w:right w:val="nil"/>
        <w:between w:val="nil"/>
      </w:pBdr>
      <w:tabs>
        <w:tab w:val="center" w:pos="4680"/>
        <w:tab w:val="right" w:pos="9360"/>
      </w:tabs>
      <w:spacing w:after="0" w:line="360" w:lineRule="auto"/>
      <w:rPr>
        <w:b/>
        <w:color w:val="000000"/>
        <w:szCs w:val="16"/>
      </w:rPr>
    </w:pPr>
    <w:r>
      <w:rPr>
        <w:b/>
        <w:color w:val="000000"/>
        <w:szCs w:val="16"/>
      </w:rPr>
      <w:t>Smart and Sustainable Planning for Cities and Regions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F67F2"/>
    <w:multiLevelType w:val="multilevel"/>
    <w:tmpl w:val="D4D80BBC"/>
    <w:lvl w:ilvl="0">
      <w:start w:val="1"/>
      <w:numFmt w:val="decimal"/>
      <w:pStyle w:val="AbstractAcknowledgementTextSSPC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87485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C4F"/>
    <w:rsid w:val="00197297"/>
    <w:rsid w:val="00612B77"/>
    <w:rsid w:val="00863129"/>
    <w:rsid w:val="00901979"/>
    <w:rsid w:val="00FF7C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D0516"/>
  <w15:docId w15:val="{47461B12-B720-474F-89B3-1E791FDC1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16"/>
        <w:szCs w:val="16"/>
        <w:lang w:val="en-US" w:eastAsia="it-IT"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rPr>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semiHidden/>
    <w:unhideWhenUsed/>
    <w:qFormat/>
    <w:rsid w:val="00CF5EC9"/>
    <w:pPr>
      <w:widowControl w:val="0"/>
      <w:outlineLvl w:val="1"/>
    </w:pPr>
    <w:rPr>
      <w:bCs/>
      <w:szCs w:val="28"/>
      <w:u w:val="single"/>
    </w:rPr>
  </w:style>
  <w:style w:type="paragraph" w:styleId="Titolo3">
    <w:name w:val="heading 3"/>
    <w:basedOn w:val="Normale"/>
    <w:next w:val="Normale"/>
    <w:link w:val="Titolo3Carattere"/>
    <w:uiPriority w:val="9"/>
    <w:semiHidden/>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semiHidden/>
    <w:unhideWhenUsed/>
    <w:qFormat/>
    <w:rsid w:val="009C1206"/>
    <w:pPr>
      <w:keepNext/>
      <w:spacing w:before="240" w:after="60"/>
      <w:outlineLvl w:val="3"/>
    </w:pPr>
    <w:rPr>
      <w:rFonts w:eastAsia="Times New Roman"/>
      <w:b/>
      <w:bCs/>
      <w:caps/>
      <w:sz w:val="20"/>
      <w:szCs w:val="28"/>
    </w:rPr>
  </w:style>
  <w:style w:type="paragraph" w:styleId="Titolo5">
    <w:name w:val="heading 5"/>
    <w:basedOn w:val="Normale"/>
    <w:next w:val="Normale"/>
    <w:uiPriority w:val="9"/>
    <w:semiHidden/>
    <w:unhideWhenUsed/>
    <w:qFormat/>
    <w:pPr>
      <w:keepNext/>
      <w:keepLines/>
      <w:spacing w:before="220" w:after="40"/>
      <w:outlineLvl w:val="4"/>
    </w:pPr>
    <w:rPr>
      <w:b/>
      <w:sz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pPr>
    <w:rPr>
      <w:b/>
      <w:sz w:val="72"/>
      <w:szCs w:val="72"/>
    </w:rPr>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unhideWhenUsed/>
    <w:rsid w:val="0050404F"/>
    <w:rPr>
      <w:sz w:val="20"/>
      <w:szCs w:val="20"/>
    </w:rPr>
  </w:style>
  <w:style w:type="character" w:customStyle="1" w:styleId="TestocommentoCarattere">
    <w:name w:val="Testo commento Carattere"/>
    <w:basedOn w:val="Carpredefinitoparagrafo"/>
    <w:link w:val="Testocommento"/>
    <w:uiPriority w:val="99"/>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rPr>
      <w:szCs w:val="22"/>
    </w:rPr>
  </w:style>
  <w:style w:type="paragraph" w:styleId="Revisione">
    <w:name w:val="Revision"/>
    <w:hidden/>
    <w:uiPriority w:val="99"/>
    <w:semiHidden/>
    <w:rsid w:val="0022671D"/>
    <w:rPr>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1"/>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JHrApPiYh8CWk3yflLkCoa41pg==">AMUW2mVd71fRmB/RF0zHO4j9hhIfT/zqh4LlERpuT9G6HbUNG8MqUO69WdniuXYRx6q/J95be8lAGg3T2r6MDL0h18oDv4Sdn1KDAOqzFfbIJ6zgkcd864P1/fcP1n5ZrCCtAiaflXYHJNvaoVnQ9lCTPBPyZnqVbsACz5lDxSa1+Q5fPpfD8sUaoipld3EiwAnEUZ6PI38nifXdSUCFodBC+m4gz5r2qm7XNvGLACueED3nq4mdXr7vHc4SiLLBxZ8SqCqphX9U6ZY0FKhcJKhXF4j9Gjx7qmKUFoff2yjdrNCRSA+fPN0W0MuXx7AlfSdjqXjobX37zxBs0DeLqUhI5NyxqNTBF6KZNfA8kE1nTz0bdqPu9iMoCzrrIXv8d8/BapsXmTTuptqgOtkrDTlk3VZZ7niPvPD0NJjQuC4OAzxkKZN8yycUKSi71ZrQXyCEcJyNssmAAYGcxQGR5JB3gup4FD4nymm1oWzZXZcWK65vGtV09lVwqOZ2/9DhwHfZbygfS32GN/koogbYCaDuQKdgabLw84RTI03ZjUHpO8aGB72LGy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BB50A25-E270-422F-975B-EB65E3F624A3}"/>
</file>

<file path=customXml/itemProps3.xml><?xml version="1.0" encoding="utf-8"?>
<ds:datastoreItem xmlns:ds="http://schemas.openxmlformats.org/officeDocument/2006/customXml" ds:itemID="{19E43E90-3CFC-4C54-B7F6-9ABC2368F257}"/>
</file>

<file path=customXml/itemProps4.xml><?xml version="1.0" encoding="utf-8"?>
<ds:datastoreItem xmlns:ds="http://schemas.openxmlformats.org/officeDocument/2006/customXml" ds:itemID="{06F0A3F2-36B6-4E72-A7B9-D854D2871A61}"/>
</file>

<file path=docProps/app.xml><?xml version="1.0" encoding="utf-8"?>
<Properties xmlns="http://schemas.openxmlformats.org/officeDocument/2006/extended-properties" xmlns:vt="http://schemas.openxmlformats.org/officeDocument/2006/docPropsVTypes">
  <Template>Normal.dotm</Template>
  <TotalTime>1</TotalTime>
  <Pages>1</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Gasser</dc:creator>
  <cp:lastModifiedBy>Vasiliu Elisa Elena</cp:lastModifiedBy>
  <cp:revision>3</cp:revision>
  <dcterms:created xsi:type="dcterms:W3CDTF">2022-04-04T14:04:00Z</dcterms:created>
  <dcterms:modified xsi:type="dcterms:W3CDTF">2022-06-28T15:39:00Z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